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B7986" w14:textId="77777777" w:rsidR="00DC216D" w:rsidRDefault="00DC216D" w:rsidP="00E07A9F">
      <w:pPr>
        <w:jc w:val="center"/>
        <w:rPr>
          <w:rFonts w:ascii="Arial" w:eastAsia="Calibri" w:hAnsi="Arial" w:cs="Arial"/>
          <w:b/>
          <w:bCs/>
        </w:rPr>
      </w:pPr>
    </w:p>
    <w:p w14:paraId="367A91CC" w14:textId="3F201FA9" w:rsidR="00976866" w:rsidRPr="00E07A9F" w:rsidRDefault="49D916B7" w:rsidP="00E07A9F">
      <w:pPr>
        <w:jc w:val="center"/>
        <w:rPr>
          <w:rFonts w:ascii="Arial" w:eastAsia="Calibri" w:hAnsi="Arial" w:cs="Arial"/>
          <w:b/>
          <w:bCs/>
        </w:rPr>
      </w:pPr>
      <w:r w:rsidRPr="00E07A9F">
        <w:rPr>
          <w:rFonts w:ascii="Arial" w:eastAsia="Calibri" w:hAnsi="Arial" w:cs="Arial"/>
          <w:b/>
          <w:bCs/>
        </w:rPr>
        <w:t xml:space="preserve">Wolverton and Greenleys Town </w:t>
      </w:r>
      <w:r w:rsidR="194F7EC3" w:rsidRPr="00E07A9F">
        <w:rPr>
          <w:rFonts w:ascii="Arial" w:eastAsia="Calibri" w:hAnsi="Arial" w:cs="Arial"/>
          <w:b/>
          <w:bCs/>
        </w:rPr>
        <w:t>Council -</w:t>
      </w:r>
      <w:r w:rsidRPr="00E07A9F">
        <w:rPr>
          <w:rFonts w:ascii="Arial" w:eastAsia="Calibri" w:hAnsi="Arial" w:cs="Arial"/>
          <w:b/>
          <w:bCs/>
        </w:rPr>
        <w:t>Terms of Reference for the Finance Committee</w:t>
      </w:r>
    </w:p>
    <w:p w14:paraId="272753B3" w14:textId="1DCFF5F1" w:rsidR="00976866" w:rsidRPr="000D03D5" w:rsidRDefault="49D916B7" w:rsidP="55E38AEE">
      <w:pPr>
        <w:rPr>
          <w:rFonts w:ascii="Arial" w:eastAsia="Calibri" w:hAnsi="Arial" w:cs="Arial"/>
        </w:rPr>
      </w:pPr>
      <w:r w:rsidRPr="000D03D5">
        <w:rPr>
          <w:rFonts w:ascii="Arial" w:eastAsia="Calibri" w:hAnsi="Arial" w:cs="Arial"/>
        </w:rPr>
        <w:t>General</w:t>
      </w:r>
    </w:p>
    <w:p w14:paraId="6A1D0861" w14:textId="42D7FFE7" w:rsidR="00976866" w:rsidRPr="000D03D5" w:rsidRDefault="49D916B7" w:rsidP="55E38AEE">
      <w:pPr>
        <w:rPr>
          <w:rFonts w:ascii="Arial" w:eastAsia="Calibri" w:hAnsi="Arial" w:cs="Arial"/>
        </w:rPr>
      </w:pPr>
      <w:r w:rsidRPr="000D03D5">
        <w:rPr>
          <w:rFonts w:ascii="Arial" w:eastAsia="Calibri" w:hAnsi="Arial" w:cs="Arial"/>
        </w:rPr>
        <w:t xml:space="preserve"> 1.1 </w:t>
      </w:r>
    </w:p>
    <w:p w14:paraId="3A424FA3" w14:textId="4FFBE557" w:rsidR="00976866" w:rsidRPr="000D03D5" w:rsidRDefault="49D916B7" w:rsidP="55E38AEE">
      <w:pPr>
        <w:rPr>
          <w:rFonts w:ascii="Arial" w:eastAsia="Calibri" w:hAnsi="Arial" w:cs="Arial"/>
        </w:rPr>
      </w:pPr>
      <w:r w:rsidRPr="000D03D5">
        <w:rPr>
          <w:rFonts w:ascii="Arial" w:eastAsia="Calibri" w:hAnsi="Arial" w:cs="Arial"/>
        </w:rPr>
        <w:t xml:space="preserve">The finance committee is constituted as a standing committee of </w:t>
      </w:r>
      <w:r w:rsidR="69546047" w:rsidRPr="000D03D5">
        <w:rPr>
          <w:rFonts w:ascii="Arial" w:eastAsia="Calibri" w:hAnsi="Arial" w:cs="Arial"/>
        </w:rPr>
        <w:t xml:space="preserve">Wolverton and </w:t>
      </w:r>
      <w:r w:rsidR="1C347CF5" w:rsidRPr="000D03D5">
        <w:rPr>
          <w:rFonts w:ascii="Arial" w:eastAsia="Calibri" w:hAnsi="Arial" w:cs="Arial"/>
        </w:rPr>
        <w:t>Greenleys</w:t>
      </w:r>
      <w:r w:rsidR="69546047" w:rsidRPr="000D03D5">
        <w:rPr>
          <w:rFonts w:ascii="Arial" w:eastAsia="Calibri" w:hAnsi="Arial" w:cs="Arial"/>
        </w:rPr>
        <w:t xml:space="preserve"> Town Council</w:t>
      </w:r>
      <w:r w:rsidRPr="000D03D5">
        <w:rPr>
          <w:rFonts w:ascii="Arial" w:eastAsia="Calibri" w:hAnsi="Arial" w:cs="Arial"/>
        </w:rPr>
        <w:t xml:space="preserve"> and as such shall adhere to standing orders or as often as necessary to fulfil the responsibilities below. </w:t>
      </w:r>
    </w:p>
    <w:p w14:paraId="4445D4C9" w14:textId="6C44B951" w:rsidR="00976866" w:rsidRPr="000D03D5" w:rsidRDefault="49D916B7" w:rsidP="55E38AEE">
      <w:pPr>
        <w:rPr>
          <w:rFonts w:ascii="Arial" w:eastAsia="Calibri" w:hAnsi="Arial" w:cs="Arial"/>
        </w:rPr>
      </w:pPr>
      <w:r w:rsidRPr="000D03D5">
        <w:rPr>
          <w:rFonts w:ascii="Arial" w:eastAsia="Calibri" w:hAnsi="Arial" w:cs="Arial"/>
        </w:rPr>
        <w:t xml:space="preserve">Delegated responsibilities </w:t>
      </w:r>
    </w:p>
    <w:p w14:paraId="09E46051" w14:textId="244E709C" w:rsidR="00976866" w:rsidRPr="000D03D5" w:rsidRDefault="49D916B7" w:rsidP="55E38AEE">
      <w:pPr>
        <w:rPr>
          <w:rFonts w:ascii="Arial" w:eastAsia="Calibri" w:hAnsi="Arial" w:cs="Arial"/>
        </w:rPr>
      </w:pPr>
      <w:r w:rsidRPr="000D03D5">
        <w:rPr>
          <w:rFonts w:ascii="Arial" w:eastAsia="Calibri" w:hAnsi="Arial" w:cs="Arial"/>
        </w:rPr>
        <w:t xml:space="preserve">2.1 </w:t>
      </w:r>
    </w:p>
    <w:p w14:paraId="2F967048" w14:textId="43C59CCE" w:rsidR="00976866" w:rsidRPr="000D03D5" w:rsidRDefault="49D916B7" w:rsidP="55E38AEE">
      <w:pPr>
        <w:rPr>
          <w:rFonts w:ascii="Arial" w:eastAsia="Calibri" w:hAnsi="Arial" w:cs="Arial"/>
        </w:rPr>
      </w:pPr>
      <w:r w:rsidRPr="000D03D5">
        <w:rPr>
          <w:rFonts w:ascii="Arial" w:eastAsia="Calibri" w:hAnsi="Arial" w:cs="Arial"/>
        </w:rPr>
        <w:t xml:space="preserve">The committee, along with the Responsible Financial Officer (RFO), will have overall responsibility for the management of the council’s financial affairs in accordance with legislative requirements, regulations and guidelines and will have the ability to establish working groups to review any of these responsibilities as required. </w:t>
      </w:r>
    </w:p>
    <w:p w14:paraId="6CE6A5FE" w14:textId="24AC9CF2" w:rsidR="00976866" w:rsidRPr="000D03D5" w:rsidRDefault="49D916B7" w:rsidP="55E38AEE">
      <w:pPr>
        <w:rPr>
          <w:rFonts w:ascii="Arial" w:eastAsia="Calibri" w:hAnsi="Arial" w:cs="Arial"/>
        </w:rPr>
      </w:pPr>
      <w:r w:rsidRPr="000D03D5">
        <w:rPr>
          <w:rFonts w:ascii="Arial" w:eastAsia="Calibri" w:hAnsi="Arial" w:cs="Arial"/>
        </w:rPr>
        <w:t>2.2</w:t>
      </w:r>
    </w:p>
    <w:p w14:paraId="70896D3F" w14:textId="6EDF1A4C" w:rsidR="00976866" w:rsidRPr="000D03D5" w:rsidRDefault="49D916B7" w:rsidP="55E38AEE">
      <w:pPr>
        <w:rPr>
          <w:rFonts w:ascii="Arial" w:eastAsia="Calibri" w:hAnsi="Arial" w:cs="Arial"/>
        </w:rPr>
      </w:pPr>
      <w:r w:rsidRPr="000D03D5">
        <w:rPr>
          <w:rFonts w:ascii="Arial" w:eastAsia="Calibri" w:hAnsi="Arial" w:cs="Arial"/>
        </w:rPr>
        <w:t xml:space="preserve"> The committee have the following responsibilities:</w:t>
      </w:r>
    </w:p>
    <w:p w14:paraId="28477849" w14:textId="4224C6F5" w:rsidR="00976866" w:rsidRPr="000D03D5" w:rsidRDefault="49D916B7" w:rsidP="55E38AEE">
      <w:pPr>
        <w:pStyle w:val="ListParagraph"/>
        <w:numPr>
          <w:ilvl w:val="0"/>
          <w:numId w:val="2"/>
        </w:numPr>
        <w:rPr>
          <w:rFonts w:ascii="Arial" w:eastAsiaTheme="minorEastAsia" w:hAnsi="Arial" w:cs="Arial"/>
        </w:rPr>
      </w:pPr>
      <w:r w:rsidRPr="000D03D5">
        <w:rPr>
          <w:rFonts w:ascii="Arial" w:eastAsia="Calibri" w:hAnsi="Arial" w:cs="Arial"/>
        </w:rPr>
        <w:t xml:space="preserve">  to review the council’s banking arrangements and accounting systems regularly </w:t>
      </w:r>
    </w:p>
    <w:p w14:paraId="3634DCC9" w14:textId="7CAE2E4F"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 </w:t>
      </w:r>
      <w:r w:rsidR="6D04C10E" w:rsidRPr="000D03D5">
        <w:rPr>
          <w:rFonts w:ascii="Arial" w:eastAsia="Calibri" w:hAnsi="Arial" w:cs="Arial"/>
        </w:rPr>
        <w:t xml:space="preserve"> </w:t>
      </w:r>
      <w:r w:rsidRPr="000D03D5">
        <w:rPr>
          <w:rFonts w:ascii="Arial" w:eastAsia="Calibri" w:hAnsi="Arial" w:cs="Arial"/>
        </w:rPr>
        <w:t>to monitor the council’s income and expenditure against the budget</w:t>
      </w:r>
    </w:p>
    <w:p w14:paraId="7427FB2F" w14:textId="0DCBCA4F"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 </w:t>
      </w:r>
      <w:r w:rsidR="23FA6A42" w:rsidRPr="000D03D5">
        <w:rPr>
          <w:rFonts w:ascii="Arial" w:eastAsia="Calibri" w:hAnsi="Arial" w:cs="Arial"/>
        </w:rPr>
        <w:t xml:space="preserve"> </w:t>
      </w:r>
      <w:r w:rsidRPr="000D03D5">
        <w:rPr>
          <w:rFonts w:ascii="Arial" w:eastAsia="Calibri" w:hAnsi="Arial" w:cs="Arial"/>
        </w:rPr>
        <w:t xml:space="preserve">to prepare the council’s annual budget </w:t>
      </w:r>
    </w:p>
    <w:p w14:paraId="7B0DD4D5" w14:textId="456CE5CE" w:rsidR="00976866" w:rsidRPr="000D03D5" w:rsidRDefault="2ED4C578" w:rsidP="55E38AEE">
      <w:pPr>
        <w:pStyle w:val="ListParagraph"/>
        <w:numPr>
          <w:ilvl w:val="0"/>
          <w:numId w:val="2"/>
        </w:numPr>
        <w:rPr>
          <w:rFonts w:ascii="Arial" w:hAnsi="Arial" w:cs="Arial"/>
        </w:rPr>
      </w:pPr>
      <w:r w:rsidRPr="000D03D5">
        <w:rPr>
          <w:rFonts w:ascii="Arial" w:eastAsia="Calibri" w:hAnsi="Arial" w:cs="Arial"/>
        </w:rPr>
        <w:t xml:space="preserve">  </w:t>
      </w:r>
      <w:r w:rsidR="49D916B7" w:rsidRPr="000D03D5">
        <w:rPr>
          <w:rFonts w:ascii="Arial" w:eastAsia="Calibri" w:hAnsi="Arial" w:cs="Arial"/>
        </w:rPr>
        <w:t>to make a recommendation to the council of the</w:t>
      </w:r>
      <w:r w:rsidR="003DF02E" w:rsidRPr="000D03D5">
        <w:rPr>
          <w:rFonts w:ascii="Arial" w:eastAsia="Calibri" w:hAnsi="Arial" w:cs="Arial"/>
        </w:rPr>
        <w:t xml:space="preserve"> </w:t>
      </w:r>
      <w:r w:rsidR="49D916B7" w:rsidRPr="000D03D5">
        <w:rPr>
          <w:rFonts w:ascii="Arial" w:eastAsia="Calibri" w:hAnsi="Arial" w:cs="Arial"/>
        </w:rPr>
        <w:t xml:space="preserve">precept required for the next financial year </w:t>
      </w:r>
    </w:p>
    <w:p w14:paraId="3175AE6A" w14:textId="6CD0987F" w:rsidR="00976866" w:rsidRPr="000D03D5" w:rsidRDefault="2F0F8E22" w:rsidP="55E38AEE">
      <w:pPr>
        <w:pStyle w:val="ListParagraph"/>
        <w:numPr>
          <w:ilvl w:val="0"/>
          <w:numId w:val="2"/>
        </w:numPr>
        <w:rPr>
          <w:rFonts w:ascii="Arial" w:hAnsi="Arial" w:cs="Arial"/>
        </w:rPr>
      </w:pPr>
      <w:r w:rsidRPr="000D03D5">
        <w:rPr>
          <w:rFonts w:ascii="Arial" w:eastAsia="Calibri" w:hAnsi="Arial" w:cs="Arial"/>
        </w:rPr>
        <w:t xml:space="preserve"> </w:t>
      </w:r>
      <w:r w:rsidR="49D916B7" w:rsidRPr="000D03D5">
        <w:rPr>
          <w:rFonts w:ascii="Arial" w:eastAsia="Calibri" w:hAnsi="Arial" w:cs="Arial"/>
        </w:rPr>
        <w:t xml:space="preserve">to consider financial planning and the allocation of reserves </w:t>
      </w:r>
    </w:p>
    <w:p w14:paraId="32E81A06" w14:textId="7F40423D"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 to ensure the council is adequately insured </w:t>
      </w:r>
    </w:p>
    <w:p w14:paraId="75917833" w14:textId="2E198657"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 to ensure the council observes its financial regulations</w:t>
      </w:r>
    </w:p>
    <w:p w14:paraId="1843C927" w14:textId="2E8B11E2"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  to review the financial regulations and financial risk assessment annually, make recommendations for change to the council</w:t>
      </w:r>
    </w:p>
    <w:p w14:paraId="3B1B5CE5" w14:textId="684A35E3"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 to receive internal and external audit reports and implement any recommendations </w:t>
      </w:r>
    </w:p>
    <w:p w14:paraId="1C12D4E7" w14:textId="2AAC950B"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to review the council’s charges annually </w:t>
      </w:r>
    </w:p>
    <w:p w14:paraId="48897D48" w14:textId="099E7369" w:rsidR="00976866" w:rsidRPr="000D03D5" w:rsidRDefault="49D916B7" w:rsidP="55E38AEE">
      <w:pPr>
        <w:pStyle w:val="ListParagraph"/>
        <w:numPr>
          <w:ilvl w:val="0"/>
          <w:numId w:val="2"/>
        </w:numPr>
        <w:rPr>
          <w:rFonts w:ascii="Arial" w:hAnsi="Arial" w:cs="Arial"/>
        </w:rPr>
      </w:pPr>
      <w:r w:rsidRPr="000D03D5">
        <w:rPr>
          <w:rFonts w:ascii="Arial" w:eastAsia="Calibri" w:hAnsi="Arial" w:cs="Arial"/>
        </w:rPr>
        <w:t xml:space="preserve">to oversee all legal matters pertaining to leases, insurance claims, easements, tenancies, contracts, loans, insurance cover, damage to property, debt recovery and make recommendations to the council. </w:t>
      </w:r>
    </w:p>
    <w:p w14:paraId="3C2E1327" w14:textId="0AC40834" w:rsidR="00976866" w:rsidRPr="000D03D5" w:rsidRDefault="49D916B7" w:rsidP="55E38AEE">
      <w:pPr>
        <w:rPr>
          <w:rFonts w:ascii="Arial" w:eastAsia="Calibri" w:hAnsi="Arial" w:cs="Arial"/>
        </w:rPr>
      </w:pPr>
      <w:r w:rsidRPr="000D03D5">
        <w:rPr>
          <w:rFonts w:ascii="Arial" w:eastAsia="Calibri" w:hAnsi="Arial" w:cs="Arial"/>
        </w:rPr>
        <w:t xml:space="preserve">2 2.3 </w:t>
      </w:r>
    </w:p>
    <w:p w14:paraId="64BA7302" w14:textId="2F7AA838" w:rsidR="00976866" w:rsidRPr="000D03D5" w:rsidRDefault="49D916B7" w:rsidP="55E38AEE">
      <w:pPr>
        <w:rPr>
          <w:rFonts w:ascii="Arial" w:eastAsia="Calibri" w:hAnsi="Arial" w:cs="Arial"/>
        </w:rPr>
      </w:pPr>
      <w:r w:rsidRPr="000D03D5">
        <w:rPr>
          <w:rFonts w:ascii="Arial" w:eastAsia="Calibri" w:hAnsi="Arial" w:cs="Arial"/>
        </w:rPr>
        <w:t xml:space="preserve">The committee shall not: </w:t>
      </w:r>
    </w:p>
    <w:p w14:paraId="6C341867" w14:textId="77777777" w:rsidR="00BF6807" w:rsidRPr="00B73AE0" w:rsidRDefault="49D916B7" w:rsidP="55E38AEE">
      <w:pPr>
        <w:pStyle w:val="ListParagraph"/>
        <w:numPr>
          <w:ilvl w:val="0"/>
          <w:numId w:val="1"/>
        </w:numPr>
        <w:rPr>
          <w:rFonts w:ascii="Arial" w:eastAsiaTheme="minorEastAsia" w:hAnsi="Arial" w:cs="Arial"/>
        </w:rPr>
      </w:pPr>
      <w:r w:rsidRPr="000D03D5">
        <w:rPr>
          <w:rFonts w:ascii="Arial" w:eastAsia="Calibri" w:hAnsi="Arial" w:cs="Arial"/>
        </w:rPr>
        <w:t xml:space="preserve">authorise the council’s payments </w:t>
      </w:r>
    </w:p>
    <w:p w14:paraId="5EF28CC2" w14:textId="18B4A489" w:rsidR="00976866" w:rsidRPr="000D03D5" w:rsidRDefault="49D916B7" w:rsidP="55E38AEE">
      <w:pPr>
        <w:pStyle w:val="ListParagraph"/>
        <w:numPr>
          <w:ilvl w:val="0"/>
          <w:numId w:val="1"/>
        </w:numPr>
        <w:rPr>
          <w:rFonts w:ascii="Arial" w:eastAsiaTheme="minorEastAsia" w:hAnsi="Arial" w:cs="Arial"/>
        </w:rPr>
      </w:pPr>
      <w:r w:rsidRPr="000D03D5">
        <w:rPr>
          <w:rFonts w:ascii="Arial" w:eastAsia="Calibri" w:hAnsi="Arial" w:cs="Arial"/>
        </w:rPr>
        <w:t>approve the council’s banking arrangements</w:t>
      </w:r>
    </w:p>
    <w:p w14:paraId="1C669025" w14:textId="56BBEDB4" w:rsidR="00976866" w:rsidRPr="000D03D5" w:rsidRDefault="49D916B7" w:rsidP="55E38AEE">
      <w:pPr>
        <w:pStyle w:val="ListParagraph"/>
        <w:numPr>
          <w:ilvl w:val="0"/>
          <w:numId w:val="1"/>
        </w:numPr>
        <w:rPr>
          <w:rFonts w:ascii="Arial" w:hAnsi="Arial" w:cs="Arial"/>
        </w:rPr>
      </w:pPr>
      <w:r w:rsidRPr="000D03D5">
        <w:rPr>
          <w:rFonts w:ascii="Arial" w:eastAsia="Calibri" w:hAnsi="Arial" w:cs="Arial"/>
        </w:rPr>
        <w:t xml:space="preserve"> fix the precept for the following year. </w:t>
      </w:r>
    </w:p>
    <w:p w14:paraId="6AE58444" w14:textId="5C02CC10" w:rsidR="00976866" w:rsidRPr="000D03D5" w:rsidRDefault="49D916B7" w:rsidP="55E38AEE">
      <w:pPr>
        <w:rPr>
          <w:rFonts w:ascii="Arial" w:eastAsia="Calibri" w:hAnsi="Arial" w:cs="Arial"/>
        </w:rPr>
      </w:pPr>
      <w:r w:rsidRPr="000D03D5">
        <w:rPr>
          <w:rFonts w:ascii="Arial" w:eastAsia="Calibri" w:hAnsi="Arial" w:cs="Arial"/>
        </w:rPr>
        <w:t>3 Review</w:t>
      </w:r>
    </w:p>
    <w:p w14:paraId="7100B7AE" w14:textId="3EF82BE2" w:rsidR="00976866" w:rsidRPr="000D03D5" w:rsidRDefault="49D916B7" w:rsidP="55E38AEE">
      <w:pPr>
        <w:rPr>
          <w:rFonts w:ascii="Arial" w:eastAsia="Calibri" w:hAnsi="Arial" w:cs="Arial"/>
        </w:rPr>
      </w:pPr>
      <w:r w:rsidRPr="000D03D5">
        <w:rPr>
          <w:rFonts w:ascii="Arial" w:eastAsia="Calibri" w:hAnsi="Arial" w:cs="Arial"/>
        </w:rPr>
        <w:t xml:space="preserve"> 3.1</w:t>
      </w:r>
    </w:p>
    <w:p w14:paraId="5E5787A5" w14:textId="020B05D5" w:rsidR="00976866" w:rsidRPr="000D03D5" w:rsidRDefault="49D916B7" w:rsidP="55E38AEE">
      <w:pPr>
        <w:rPr>
          <w:rFonts w:ascii="Arial" w:eastAsia="Calibri" w:hAnsi="Arial" w:cs="Arial"/>
        </w:rPr>
      </w:pPr>
      <w:r w:rsidRPr="000D03D5">
        <w:rPr>
          <w:rFonts w:ascii="Arial" w:eastAsia="Calibri" w:hAnsi="Arial" w:cs="Arial"/>
        </w:rPr>
        <w:t xml:space="preserve"> These terms of reference shall be reviewed annually by the council.</w:t>
      </w:r>
    </w:p>
    <w:p w14:paraId="2E75C964" w14:textId="174A7B10" w:rsidR="00DD6DE2" w:rsidRPr="00DD6DE2" w:rsidRDefault="000D03D5" w:rsidP="00DD6DE2">
      <w:pPr>
        <w:rPr>
          <w:rFonts w:ascii="Arial" w:hAnsi="Arial" w:cs="Arial"/>
          <w:b/>
          <w:lang w:val="fr-FR"/>
        </w:rPr>
      </w:pPr>
      <w:r w:rsidRPr="00DD6DE2">
        <w:rPr>
          <w:rFonts w:ascii="Arial" w:eastAsia="Calibri" w:hAnsi="Arial" w:cs="Arial"/>
          <w:b/>
          <w:bCs/>
        </w:rPr>
        <w:t xml:space="preserve">Adopted </w:t>
      </w:r>
      <w:r w:rsidR="00DD6DE2">
        <w:rPr>
          <w:rFonts w:ascii="Arial" w:eastAsia="Calibri" w:hAnsi="Arial" w:cs="Arial"/>
          <w:b/>
          <w:bCs/>
        </w:rPr>
        <w:t>23</w:t>
      </w:r>
      <w:r w:rsidR="00DD6DE2" w:rsidRPr="00DD6DE2">
        <w:rPr>
          <w:rFonts w:ascii="Arial" w:eastAsia="Calibri" w:hAnsi="Arial" w:cs="Arial"/>
          <w:b/>
          <w:bCs/>
          <w:vertAlign w:val="superscript"/>
        </w:rPr>
        <w:t>rd</w:t>
      </w:r>
      <w:r w:rsidR="00DD6DE2">
        <w:rPr>
          <w:rFonts w:ascii="Arial" w:eastAsia="Calibri" w:hAnsi="Arial" w:cs="Arial"/>
          <w:b/>
          <w:bCs/>
        </w:rPr>
        <w:t xml:space="preserve"> May 2023 </w:t>
      </w:r>
      <w:r w:rsidR="00DD6DE2" w:rsidRPr="00DD6DE2">
        <w:rPr>
          <w:rFonts w:ascii="Arial" w:hAnsi="Arial" w:cs="Arial"/>
          <w:b/>
          <w:lang w:val="fr-FR"/>
        </w:rPr>
        <w:t>TC23/016</w:t>
      </w:r>
    </w:p>
    <w:p w14:paraId="15ED273A" w14:textId="498D533A" w:rsidR="000D03D5" w:rsidRPr="00E85932" w:rsidRDefault="000D03D5" w:rsidP="55E38AEE">
      <w:pPr>
        <w:rPr>
          <w:rFonts w:ascii="Arial" w:eastAsia="Calibri" w:hAnsi="Arial" w:cs="Arial"/>
          <w:b/>
          <w:bCs/>
        </w:rPr>
      </w:pPr>
    </w:p>
    <w:sectPr w:rsidR="000D03D5" w:rsidRPr="00E85932">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4D66" w14:textId="77777777" w:rsidR="00880A08" w:rsidRDefault="00880A08" w:rsidP="002914D6">
      <w:pPr>
        <w:spacing w:after="0" w:line="240" w:lineRule="auto"/>
      </w:pPr>
      <w:r>
        <w:separator/>
      </w:r>
    </w:p>
  </w:endnote>
  <w:endnote w:type="continuationSeparator" w:id="0">
    <w:p w14:paraId="5EA00059" w14:textId="77777777" w:rsidR="00880A08" w:rsidRDefault="00880A08" w:rsidP="0029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DAAF" w14:textId="77777777" w:rsidR="00880A08" w:rsidRDefault="00880A08" w:rsidP="002914D6">
      <w:pPr>
        <w:spacing w:after="0" w:line="240" w:lineRule="auto"/>
      </w:pPr>
      <w:r>
        <w:separator/>
      </w:r>
    </w:p>
  </w:footnote>
  <w:footnote w:type="continuationSeparator" w:id="0">
    <w:p w14:paraId="2823BCBC" w14:textId="77777777" w:rsidR="00880A08" w:rsidRDefault="00880A08" w:rsidP="0029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82A56" w14:textId="7B8699E2" w:rsidR="002914D6" w:rsidRDefault="002914D6">
    <w:pPr>
      <w:pStyle w:val="Header"/>
    </w:pPr>
    <w:r>
      <w:rPr>
        <w:noProof/>
      </w:rPr>
      <w:drawing>
        <wp:anchor distT="0" distB="0" distL="114300" distR="114300" simplePos="0" relativeHeight="251658240" behindDoc="1" locked="0" layoutInCell="1" allowOverlap="1" wp14:anchorId="75CA78EC" wp14:editId="2F49AB7C">
          <wp:simplePos x="0" y="0"/>
          <wp:positionH relativeFrom="page">
            <wp:posOffset>6626180</wp:posOffset>
          </wp:positionH>
          <wp:positionV relativeFrom="paragraph">
            <wp:posOffset>-264017</wp:posOffset>
          </wp:positionV>
          <wp:extent cx="585470" cy="585470"/>
          <wp:effectExtent l="0" t="0" r="5080" b="5080"/>
          <wp:wrapTight wrapText="bothSides">
            <wp:wrapPolygon edited="0">
              <wp:start x="0" y="0"/>
              <wp:lineTo x="0" y="21085"/>
              <wp:lineTo x="21085" y="21085"/>
              <wp:lineTo x="210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12948"/>
    <w:multiLevelType w:val="hybridMultilevel"/>
    <w:tmpl w:val="E4065E56"/>
    <w:lvl w:ilvl="0" w:tplc="9ED6FA1C">
      <w:start w:val="1"/>
      <w:numFmt w:val="bullet"/>
      <w:lvlText w:val=""/>
      <w:lvlJc w:val="left"/>
      <w:pPr>
        <w:ind w:left="720" w:hanging="360"/>
      </w:pPr>
      <w:rPr>
        <w:rFonts w:ascii="Symbol" w:hAnsi="Symbol" w:hint="default"/>
      </w:rPr>
    </w:lvl>
    <w:lvl w:ilvl="1" w:tplc="B1AC8D86">
      <w:start w:val="1"/>
      <w:numFmt w:val="bullet"/>
      <w:lvlText w:val="o"/>
      <w:lvlJc w:val="left"/>
      <w:pPr>
        <w:ind w:left="1440" w:hanging="360"/>
      </w:pPr>
      <w:rPr>
        <w:rFonts w:ascii="Courier New" w:hAnsi="Courier New" w:hint="default"/>
      </w:rPr>
    </w:lvl>
    <w:lvl w:ilvl="2" w:tplc="CC88245A">
      <w:start w:val="1"/>
      <w:numFmt w:val="bullet"/>
      <w:lvlText w:val=""/>
      <w:lvlJc w:val="left"/>
      <w:pPr>
        <w:ind w:left="2160" w:hanging="360"/>
      </w:pPr>
      <w:rPr>
        <w:rFonts w:ascii="Wingdings" w:hAnsi="Wingdings" w:hint="default"/>
      </w:rPr>
    </w:lvl>
    <w:lvl w:ilvl="3" w:tplc="120EE432">
      <w:start w:val="1"/>
      <w:numFmt w:val="bullet"/>
      <w:lvlText w:val=""/>
      <w:lvlJc w:val="left"/>
      <w:pPr>
        <w:ind w:left="2880" w:hanging="360"/>
      </w:pPr>
      <w:rPr>
        <w:rFonts w:ascii="Symbol" w:hAnsi="Symbol" w:hint="default"/>
      </w:rPr>
    </w:lvl>
    <w:lvl w:ilvl="4" w:tplc="D33C3AB6">
      <w:start w:val="1"/>
      <w:numFmt w:val="bullet"/>
      <w:lvlText w:val="o"/>
      <w:lvlJc w:val="left"/>
      <w:pPr>
        <w:ind w:left="3600" w:hanging="360"/>
      </w:pPr>
      <w:rPr>
        <w:rFonts w:ascii="Courier New" w:hAnsi="Courier New" w:hint="default"/>
      </w:rPr>
    </w:lvl>
    <w:lvl w:ilvl="5" w:tplc="C27ED192">
      <w:start w:val="1"/>
      <w:numFmt w:val="bullet"/>
      <w:lvlText w:val=""/>
      <w:lvlJc w:val="left"/>
      <w:pPr>
        <w:ind w:left="4320" w:hanging="360"/>
      </w:pPr>
      <w:rPr>
        <w:rFonts w:ascii="Wingdings" w:hAnsi="Wingdings" w:hint="default"/>
      </w:rPr>
    </w:lvl>
    <w:lvl w:ilvl="6" w:tplc="5DEA741A">
      <w:start w:val="1"/>
      <w:numFmt w:val="bullet"/>
      <w:lvlText w:val=""/>
      <w:lvlJc w:val="left"/>
      <w:pPr>
        <w:ind w:left="5040" w:hanging="360"/>
      </w:pPr>
      <w:rPr>
        <w:rFonts w:ascii="Symbol" w:hAnsi="Symbol" w:hint="default"/>
      </w:rPr>
    </w:lvl>
    <w:lvl w:ilvl="7" w:tplc="A54A7C20">
      <w:start w:val="1"/>
      <w:numFmt w:val="bullet"/>
      <w:lvlText w:val="o"/>
      <w:lvlJc w:val="left"/>
      <w:pPr>
        <w:ind w:left="5760" w:hanging="360"/>
      </w:pPr>
      <w:rPr>
        <w:rFonts w:ascii="Courier New" w:hAnsi="Courier New" w:hint="default"/>
      </w:rPr>
    </w:lvl>
    <w:lvl w:ilvl="8" w:tplc="43A6C07E">
      <w:start w:val="1"/>
      <w:numFmt w:val="bullet"/>
      <w:lvlText w:val=""/>
      <w:lvlJc w:val="left"/>
      <w:pPr>
        <w:ind w:left="6480" w:hanging="360"/>
      </w:pPr>
      <w:rPr>
        <w:rFonts w:ascii="Wingdings" w:hAnsi="Wingdings" w:hint="default"/>
      </w:rPr>
    </w:lvl>
  </w:abstractNum>
  <w:abstractNum w:abstractNumId="1" w15:restartNumberingAfterBreak="0">
    <w:nsid w:val="6FE97B4F"/>
    <w:multiLevelType w:val="hybridMultilevel"/>
    <w:tmpl w:val="C9D44CF8"/>
    <w:lvl w:ilvl="0" w:tplc="5D5060D4">
      <w:start w:val="1"/>
      <w:numFmt w:val="bullet"/>
      <w:lvlText w:val=""/>
      <w:lvlJc w:val="left"/>
      <w:pPr>
        <w:ind w:left="720" w:hanging="360"/>
      </w:pPr>
      <w:rPr>
        <w:rFonts w:ascii="Symbol" w:hAnsi="Symbol" w:hint="default"/>
      </w:rPr>
    </w:lvl>
    <w:lvl w:ilvl="1" w:tplc="0B1C80DC">
      <w:start w:val="1"/>
      <w:numFmt w:val="bullet"/>
      <w:lvlText w:val="o"/>
      <w:lvlJc w:val="left"/>
      <w:pPr>
        <w:ind w:left="1440" w:hanging="360"/>
      </w:pPr>
      <w:rPr>
        <w:rFonts w:ascii="Courier New" w:hAnsi="Courier New" w:hint="default"/>
      </w:rPr>
    </w:lvl>
    <w:lvl w:ilvl="2" w:tplc="042E91E2">
      <w:start w:val="1"/>
      <w:numFmt w:val="bullet"/>
      <w:lvlText w:val=""/>
      <w:lvlJc w:val="left"/>
      <w:pPr>
        <w:ind w:left="2160" w:hanging="360"/>
      </w:pPr>
      <w:rPr>
        <w:rFonts w:ascii="Wingdings" w:hAnsi="Wingdings" w:hint="default"/>
      </w:rPr>
    </w:lvl>
    <w:lvl w:ilvl="3" w:tplc="05AAA7B8">
      <w:start w:val="1"/>
      <w:numFmt w:val="bullet"/>
      <w:lvlText w:val=""/>
      <w:lvlJc w:val="left"/>
      <w:pPr>
        <w:ind w:left="2880" w:hanging="360"/>
      </w:pPr>
      <w:rPr>
        <w:rFonts w:ascii="Symbol" w:hAnsi="Symbol" w:hint="default"/>
      </w:rPr>
    </w:lvl>
    <w:lvl w:ilvl="4" w:tplc="D82CB024">
      <w:start w:val="1"/>
      <w:numFmt w:val="bullet"/>
      <w:lvlText w:val="o"/>
      <w:lvlJc w:val="left"/>
      <w:pPr>
        <w:ind w:left="3600" w:hanging="360"/>
      </w:pPr>
      <w:rPr>
        <w:rFonts w:ascii="Courier New" w:hAnsi="Courier New" w:hint="default"/>
      </w:rPr>
    </w:lvl>
    <w:lvl w:ilvl="5" w:tplc="C67AD744">
      <w:start w:val="1"/>
      <w:numFmt w:val="bullet"/>
      <w:lvlText w:val=""/>
      <w:lvlJc w:val="left"/>
      <w:pPr>
        <w:ind w:left="4320" w:hanging="360"/>
      </w:pPr>
      <w:rPr>
        <w:rFonts w:ascii="Wingdings" w:hAnsi="Wingdings" w:hint="default"/>
      </w:rPr>
    </w:lvl>
    <w:lvl w:ilvl="6" w:tplc="C7382F6E">
      <w:start w:val="1"/>
      <w:numFmt w:val="bullet"/>
      <w:lvlText w:val=""/>
      <w:lvlJc w:val="left"/>
      <w:pPr>
        <w:ind w:left="5040" w:hanging="360"/>
      </w:pPr>
      <w:rPr>
        <w:rFonts w:ascii="Symbol" w:hAnsi="Symbol" w:hint="default"/>
      </w:rPr>
    </w:lvl>
    <w:lvl w:ilvl="7" w:tplc="D6BC8354">
      <w:start w:val="1"/>
      <w:numFmt w:val="bullet"/>
      <w:lvlText w:val="o"/>
      <w:lvlJc w:val="left"/>
      <w:pPr>
        <w:ind w:left="5760" w:hanging="360"/>
      </w:pPr>
      <w:rPr>
        <w:rFonts w:ascii="Courier New" w:hAnsi="Courier New" w:hint="default"/>
      </w:rPr>
    </w:lvl>
    <w:lvl w:ilvl="8" w:tplc="B5006A74">
      <w:start w:val="1"/>
      <w:numFmt w:val="bullet"/>
      <w:lvlText w:val=""/>
      <w:lvlJc w:val="left"/>
      <w:pPr>
        <w:ind w:left="6480" w:hanging="360"/>
      </w:pPr>
      <w:rPr>
        <w:rFonts w:ascii="Wingdings" w:hAnsi="Wingdings" w:hint="default"/>
      </w:rPr>
    </w:lvl>
  </w:abstractNum>
  <w:num w:numId="1" w16cid:durableId="469054612">
    <w:abstractNumId w:val="1"/>
  </w:num>
  <w:num w:numId="2" w16cid:durableId="114065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8A72A2"/>
    <w:rsid w:val="000D03D5"/>
    <w:rsid w:val="001672C2"/>
    <w:rsid w:val="002914D6"/>
    <w:rsid w:val="003DF02E"/>
    <w:rsid w:val="007D6EB1"/>
    <w:rsid w:val="00880A08"/>
    <w:rsid w:val="00976866"/>
    <w:rsid w:val="00B73AE0"/>
    <w:rsid w:val="00BD1697"/>
    <w:rsid w:val="00BF6807"/>
    <w:rsid w:val="00DC216D"/>
    <w:rsid w:val="00DD28AD"/>
    <w:rsid w:val="00DD6DE2"/>
    <w:rsid w:val="00E07A9F"/>
    <w:rsid w:val="00E42F81"/>
    <w:rsid w:val="00E85932"/>
    <w:rsid w:val="00F97292"/>
    <w:rsid w:val="056AE7A0"/>
    <w:rsid w:val="0CBF53AA"/>
    <w:rsid w:val="0FA89C7D"/>
    <w:rsid w:val="192B3CD5"/>
    <w:rsid w:val="194F7EC3"/>
    <w:rsid w:val="1C347CF5"/>
    <w:rsid w:val="1EC555E2"/>
    <w:rsid w:val="23FA6A42"/>
    <w:rsid w:val="2BDC0D84"/>
    <w:rsid w:val="2ED4C578"/>
    <w:rsid w:val="2F0F8E22"/>
    <w:rsid w:val="404B5CCE"/>
    <w:rsid w:val="432E25C4"/>
    <w:rsid w:val="48AE033E"/>
    <w:rsid w:val="49D916B7"/>
    <w:rsid w:val="55E1C486"/>
    <w:rsid w:val="55E38AEE"/>
    <w:rsid w:val="582D8FDB"/>
    <w:rsid w:val="688A72A2"/>
    <w:rsid w:val="6918F166"/>
    <w:rsid w:val="69546047"/>
    <w:rsid w:val="6D04C10E"/>
    <w:rsid w:val="6EF30967"/>
    <w:rsid w:val="746100E2"/>
    <w:rsid w:val="7BC4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72A2"/>
  <w15:chartTrackingRefBased/>
  <w15:docId w15:val="{BA01BB47-1FC0-4FB9-8EAC-921A882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914D6"/>
    <w:pPr>
      <w:spacing w:after="0" w:line="240" w:lineRule="auto"/>
    </w:pPr>
  </w:style>
  <w:style w:type="paragraph" w:styleId="Header">
    <w:name w:val="header"/>
    <w:basedOn w:val="Normal"/>
    <w:link w:val="HeaderChar"/>
    <w:uiPriority w:val="99"/>
    <w:unhideWhenUsed/>
    <w:rsid w:val="00291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D6"/>
  </w:style>
  <w:style w:type="paragraph" w:styleId="Footer">
    <w:name w:val="footer"/>
    <w:basedOn w:val="Normal"/>
    <w:link w:val="FooterChar"/>
    <w:uiPriority w:val="99"/>
    <w:unhideWhenUsed/>
    <w:rsid w:val="00291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D6"/>
  </w:style>
  <w:style w:type="character" w:styleId="CommentReference">
    <w:name w:val="annotation reference"/>
    <w:basedOn w:val="DefaultParagraphFont"/>
    <w:uiPriority w:val="99"/>
    <w:semiHidden/>
    <w:unhideWhenUsed/>
    <w:rsid w:val="007D6EB1"/>
    <w:rPr>
      <w:sz w:val="16"/>
      <w:szCs w:val="16"/>
    </w:rPr>
  </w:style>
  <w:style w:type="paragraph" w:styleId="CommentText">
    <w:name w:val="annotation text"/>
    <w:basedOn w:val="Normal"/>
    <w:link w:val="CommentTextChar"/>
    <w:uiPriority w:val="99"/>
    <w:unhideWhenUsed/>
    <w:rsid w:val="007D6EB1"/>
    <w:pPr>
      <w:spacing w:line="240" w:lineRule="auto"/>
    </w:pPr>
    <w:rPr>
      <w:sz w:val="20"/>
      <w:szCs w:val="20"/>
    </w:rPr>
  </w:style>
  <w:style w:type="character" w:customStyle="1" w:styleId="CommentTextChar">
    <w:name w:val="Comment Text Char"/>
    <w:basedOn w:val="DefaultParagraphFont"/>
    <w:link w:val="CommentText"/>
    <w:uiPriority w:val="99"/>
    <w:rsid w:val="007D6EB1"/>
    <w:rPr>
      <w:sz w:val="20"/>
      <w:szCs w:val="20"/>
    </w:rPr>
  </w:style>
  <w:style w:type="paragraph" w:styleId="CommentSubject">
    <w:name w:val="annotation subject"/>
    <w:basedOn w:val="CommentText"/>
    <w:next w:val="CommentText"/>
    <w:link w:val="CommentSubjectChar"/>
    <w:uiPriority w:val="99"/>
    <w:semiHidden/>
    <w:unhideWhenUsed/>
    <w:rsid w:val="007D6EB1"/>
    <w:rPr>
      <w:b/>
      <w:bCs/>
    </w:rPr>
  </w:style>
  <w:style w:type="character" w:customStyle="1" w:styleId="CommentSubjectChar">
    <w:name w:val="Comment Subject Char"/>
    <w:basedOn w:val="CommentTextChar"/>
    <w:link w:val="CommentSubject"/>
    <w:uiPriority w:val="99"/>
    <w:semiHidden/>
    <w:rsid w:val="007D6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8e140b-d4d5-44c5-a724-8d3da6a1b374">
      <UserInfo>
        <DisplayName/>
        <AccountId xsi:nil="true"/>
        <AccountType/>
      </UserInfo>
    </SharedWithUsers>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Props1.xml><?xml version="1.0" encoding="utf-8"?>
<ds:datastoreItem xmlns:ds="http://schemas.openxmlformats.org/officeDocument/2006/customXml" ds:itemID="{E6FA27CC-769D-4E28-AD69-5940FA5832A3}">
  <ds:schemaRefs>
    <ds:schemaRef ds:uri="http://schemas.microsoft.com/sharepoint/v3/contenttype/forms"/>
  </ds:schemaRefs>
</ds:datastoreItem>
</file>

<file path=customXml/itemProps2.xml><?xml version="1.0" encoding="utf-8"?>
<ds:datastoreItem xmlns:ds="http://schemas.openxmlformats.org/officeDocument/2006/customXml" ds:itemID="{E7948665-CE39-4897-9FA0-CB11FAA58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ac94e-43bd-4581-b779-1ab530f7acd4"/>
    <ds:schemaRef ds:uri="ec8e140b-d4d5-44c5-a724-8d3da6a1b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3FFD6-8010-4BC5-91FE-3346CAC79986}">
  <ds:schemaRefs>
    <ds:schemaRef ds:uri="http://schemas.microsoft.com/office/2006/metadata/properties"/>
    <ds:schemaRef ds:uri="http://schemas.microsoft.com/office/infopath/2007/PartnerControls"/>
    <ds:schemaRef ds:uri="ec8e140b-d4d5-44c5-a724-8d3da6a1b374"/>
    <ds:schemaRef ds:uri="2faac94e-43bd-4581-b779-1ab530f7acd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Andrea Vincent</cp:lastModifiedBy>
  <cp:revision>14</cp:revision>
  <dcterms:created xsi:type="dcterms:W3CDTF">2021-09-20T08:54:00Z</dcterms:created>
  <dcterms:modified xsi:type="dcterms:W3CDTF">2024-05-07T17:37:00Z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0x0101006E2B2AC25A3AB14283F8F5994EF1857C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